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4ba7e476508497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33511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FIJOLICA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1.289.132,01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1.456.300,98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1.284.091,84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1.542.308,48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86.007,50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9.654,63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10.482,38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4.614,46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96.489,88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2091,0</w:t>
            </w:r>
          </w:p>
        </w:tc>
      </w:tr>
    </w:tbl>
    <w:p>
      <w:pPr>
        <w:spacing w:before="0" w:after="0"/>
      </w:pPr>
    </w:p>
    <w:p>
      <w:r>
        <w:t xml:space="preserve">U izvještajnom razdoblju iz prethodne godine prenesen je višak u poslovanju u iznosu od 145, 84 € koji je iskorišten u poslovanju Dječjeg vrtića Fijolica. Na kraju izvještajnog razdoblja ostvaren je manjak poslovanja u iznosu od 96.344,04 €.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26.129,08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51.839,29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198,4</w:t>
            </w:r>
          </w:p>
        </w:tc>
      </w:tr>
    </w:tbl>
    <w:p>
      <w:pPr>
        <w:spacing w:before="0" w:after="0"/>
      </w:pPr>
    </w:p>
    <w:p>
      <w:r>
        <w:t xml:space="preserve">Pomoći iz inozemstva i od subjekata unutar općeg proračuna  veće su u odnosu na prethodno promatrano razdoblje jer su ostvareni prihodi temeljem potpisnog Sporazuma o sufinanciranju usluge mobilnog stručnog tima i Sporazuma o financiranju djelatnosti Dječjeg vrtića "Fijolica" i to usluge stručnih suradnika - mobilnog stručnog tima, te temeljem potpisanih Aneks I Spoarzuma o sufinanciranju usluge mobilnog stručnog tima te Aneks I Spoarzuma o sufinanciranju djelatnosti Dječjeg vrtića "Fijolica", te isto tako i prihodi ostvareni kojima je sufinanciran boravak u Dječjem vrtića Fijolica, a prebivalište/boraviše imaju u drugim općinama ili gradovima, te je njihovo sufinanciranje regulirano njihovim regulativama.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w:t>
            </w:r>
          </w:p>
        </w:tc>
      </w:tr>
    </w:tbl>
    <w:p>
      <w:pPr>
        <w:spacing w:before="0" w:after="0"/>
      </w:pPr>
    </w:p>
    <w:p>
      <w:r>
        <w:t xml:space="preserve">Prihodi od imovine su manji u odnosu na promatrano prethodno razdoblje jer jedna faktura za najam nije bila naplaćena do kraja obračunskog razdoblja.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301.341,58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300.390,54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w:t>
            </w:r>
          </w:p>
        </w:tc>
      </w:tr>
    </w:tbl>
    <w:p>
      <w:pPr>
        <w:spacing w:before="0" w:after="0"/>
      </w:pPr>
    </w:p>
    <w:p>
      <w:r>
        <w:t xml:space="preserve">Prihodi od upravnih i administrativnih pristojbi, pristojbi po posebnih propisima i naknada su gotovo identični u odnosu na prethodno promatrano razdoblje jer su naplaćena gotovo sva potraživanja, te su tu prikazani prihodi od roditelja za boravak djeteta u Dječjem vrtiću Fijolica.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6.746,75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301,7</w:t>
            </w:r>
          </w:p>
        </w:tc>
      </w:tr>
    </w:tbl>
    <w:p>
      <w:pPr>
        <w:spacing w:before="0" w:after="0"/>
      </w:pPr>
    </w:p>
    <w:p>
      <w:r>
        <w:t xml:space="preserve">Prihodi od prodaje proizvoda i robe te pruženih usluga, prihodi od donacija te povrati po protestiranim jamstvima znatno su veći u odnosu na prethodno promatrano razdoblje jer su tijekom ovog izvještajnog razdoblja 2025. godine ostvarene značajne donacije od udruga, prodavaonica i dioničkih društava.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950.113,83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1.093.604,36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Prihodi iz nadležnog proračuna i od HZZO-a na temelju ugovornih obveza veći su u odnosu na prethodno promatrano razdoblje jer su ostvareni prihodi iz nadležnog proračuna za sufinaniranje boravka djece u Dječjem vrtiću Fijolica, ali isto tako i prihodi za financiranje drugih rashoda poslovanja, te prihodi za financiranje rashoda za nabavu nefinancijske imovine.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w:t>
            </w:r>
          </w:p>
        </w:tc>
      </w:tr>
    </w:tbl>
    <w:p>
      <w:pPr>
        <w:spacing w:before="0" w:after="0"/>
      </w:pPr>
    </w:p>
    <w:p>
      <w:r>
        <w:t xml:space="preserve">Kazne, upravne mjere i ostali prihodi manji su u promatranom obračunskom razdoblju u odnosu na prethodno razdoblje iz razloga što je ostvareni manji prihod od viška proizvodnje električne energije od Hep opskrbe d.o.o.</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1.013.519,36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1.250.007,50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123,3</w:t>
            </w:r>
          </w:p>
        </w:tc>
      </w:tr>
    </w:tbl>
    <w:p>
      <w:pPr>
        <w:spacing w:before="0" w:after="0"/>
      </w:pPr>
    </w:p>
    <w:p>
      <w:r>
        <w:t xml:space="preserve">Rashodi za zaposlene veći su u odnosu na prethodno promatrano razdoblje jer je 24. veljače potpisan XII Aneks Kolektivnom ugovoru za djelatnost predškolskog odgoja i obrazovanja za radnike Dječjeg vrtića "Fijolica" - Prelog, gdje je je došlo do povećanja koeficijenata za radna mjesta u Dječjem vrtiću Fijolica.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269.448,60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290.718,67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107,9</w:t>
            </w:r>
          </w:p>
        </w:tc>
      </w:tr>
    </w:tbl>
    <w:p>
      <w:pPr>
        <w:spacing w:before="0" w:after="0"/>
      </w:pPr>
    </w:p>
    <w:p>
      <w:r>
        <w:t xml:space="preserve">Materijalni rashodi veću su u odnosu na prethodno promatrano razdoblje jer je došlo do povećanja troškova materijala i sirovina zbog čestog dizanja cijena. Uz uredski materijal koji nam je svakodnevno potreban za poslovanje, tu ubrajamo i didaktiku, higijenske potrepštine te materijal i sredstva za čišćenje. Energenti su također veći u odnosu na promatrano prethodno razdoblje. Rashodi za usluge su također veći zbog neplaniranih troškova te nepredvidivih popravaka.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140,8</w:t>
            </w:r>
          </w:p>
        </w:tc>
      </w:tr>
    </w:tbl>
    <w:p>
      <w:pPr>
        <w:spacing w:before="0" w:after="0"/>
      </w:pPr>
    </w:p>
    <w:p>
      <w:r>
        <w:t xml:space="preserve">Financijski rahodi veći su u odnosu na prethodno promatrano razdoblje jer smo zbog obnove Ugovora za dopušteno prekoračenje po transakcijskom računu koji nam je nužan za poslovanje, izdali Zahtjev za novi Ugovor. Tim putem od strane banke naplaćena je naknada za obradu Zahtjeva zbog obnove ugovora. Samim time naplaćena je naknada za korišteno prekoračenje, te kamata za korišteno prekoračenje.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9.654,63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10.482,38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w:t>
            </w:r>
          </w:p>
        </w:tc>
      </w:tr>
    </w:tbl>
    <w:p>
      <w:pPr>
        <w:spacing w:before="0" w:after="0"/>
      </w:pPr>
    </w:p>
    <w:p>
      <w:r>
        <w:t xml:space="preserve">Rashodi za nabavu proizvedene dugotrajne imovine veći su u odnosu na prethodno promatrano razdoblje jer je tijekom 2025. godine nabavljena dugotrajna imovina, ormari, regali, perilica suđa, ljuštilica krumpira, sudoper, hladnjak, mreža, inox radni stol , servirna kolica za poslovanje vrtića.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zaduživanja (šifre 841+842+843+844+845+847)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Primici od zaduživanja odnose se na korišteno prekoračenje odobreno od strane banke temeljem Ugovora o prekoračenju.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96.344,04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Tijekom promatranog razdoblja manjak prihoda i primitaka za pokriće u sljedećem razdoblju ostvaren je u iznosu od 96.344,04 €, koji je rezultat nedovoljnog iznosa prihoda za pokriće rashoda poslovanja, odnosno najveći udio možemo reći se odnosi na plaću za 12.2025. godine koja je rashod u promatranom razdoblju, a prihod budemo ostvarili u siječnju 2026. kada bude trošak plaće u dospijeću, kada bude plaća isplaćena.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94.746,59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w:t>
            </w:r>
          </w:p>
        </w:tc>
      </w:tr>
    </w:tbl>
    <w:p>
      <w:pPr>
        <w:spacing w:before="0" w:after="0"/>
      </w:pPr>
    </w:p>
    <w:p>
      <w:r>
        <w:t xml:space="preserve">Stanje na tekućem računu na dan 31.12.2025. iznosilo je 4.028,67 €, dok na prijelaznom računu i u blagajni nije bilo prometa.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177,6</w:t>
            </w:r>
          </w:p>
        </w:tc>
      </w:tr>
    </w:tbl>
    <w:p>
      <w:pPr>
        <w:spacing w:before="0" w:after="0"/>
      </w:pPr>
    </w:p>
    <w:p>
      <w:r>
        <w:t xml:space="preserve">Potraživanja za jamčevne pologe, od zaposlenih te za više plaćene poreze i ostalo veće je u odnosu na prethodno promatrano razdoblje te se ta potraživanja odnose na potraživanja od Hrvatskog zavoda za zdravstveno osiguranje za naknade koje se refundiraju za djelatnice/ke koje/i nisu bile/i prisutni na radu zbog zdravstvenih razloga, te ta potraživanja iznose 4.187,53 € koja moraju biti refundirana u narednom razdoblju.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w:t>
            </w:r>
          </w:p>
        </w:tc>
      </w:tr>
    </w:tbl>
    <w:p>
      <w:pPr>
        <w:spacing w:before="0" w:after="0"/>
      </w:pPr>
    </w:p>
    <w:p>
      <w:r>
        <w:t xml:space="preserve">Potraživanja za upravne i administrative pristojbe, pristojbe po posebnim propisima i naknade veće su u odnosu na prethodno promatrano razdoblje, te se ona odnose na potraživanje za rdoitelje za boravak njihove djece u vrtiću. Ta potraživanja su naplaćena već tijekom  mjeseca siječnja 2026. godine.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w:t>
            </w:r>
          </w:p>
        </w:tc>
      </w:tr>
    </w:tbl>
    <w:p>
      <w:pPr>
        <w:spacing w:before="0" w:after="0"/>
      </w:pPr>
    </w:p>
    <w:p>
      <w:r>
        <w:t xml:space="preserve">Obveze za materijalne rashode odnose se na obveze po računima za prosinac, a aza koje plaćanje dospijeva u siječnju 2026. godine, te su te iste obveze i podmirene u 2026. godini.</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-96.344,04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-66061,5</w:t>
            </w:r>
          </w:p>
        </w:tc>
      </w:tr>
    </w:tbl>
    <w:p>
      <w:pPr>
        <w:spacing w:before="0" w:after="0"/>
      </w:pPr>
    </w:p>
    <w:p>
      <w:r>
        <w:t xml:space="preserve">Rezultat- višak/manjak za promatrano razdoblje 2025. godine iznosi 96.344,04 €, što znači da taj iskazani manjak ukazuje na nedovoljan iznos prihoda za pokriće spomenutih rashoda poslovanja Dječjeg vrtića u promatranom finanijskom izvještaju za 2025. godinu s 31.12.2025. godine.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Dječji vrtić Fijolica izdao je bjanko zadužnicu na iznos od 1.327,23 € kao jamstvojednom dobavljaču, jer je to bio uvjet daljnjeg psolovanja. Bjanko zadužnica knjižena je izvanbilančno na kontu 99141 i 99641</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1.293.746,47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1.552.790,86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w:t>
            </w:r>
          </w:p>
        </w:tc>
      </w:tr>
    </w:tbl>
    <w:p>
      <w:pPr>
        <w:spacing w:before="0" w:after="0"/>
      </w:pPr>
    </w:p>
    <w:p>
      <w:r>
        <w:t xml:space="preserve">Funkcijska klasifikacija sadrži rashode razvrstane prema njihovoj namjeni. Podaci iz izvještaja o rashodima prema funkcijskoj klasifikaciji daju informaciju o potrošnji za svaku propisanu funciju. u obrazac se unose rashodi poslovanja za predškolsko obrazovanje.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 obujmu imovine i  obveza su događaji koji utječu na neto vrijednost, a nisu rezultat aktivnosti odnosno transakcija i zamjena jedne vrste imovine/obveza drugom. Promjene - iznos smanjenja su nastale kao inventurne razlike odnosno rashod osnovnih sredstava, koje je utvrdila inventurna komisija.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 obujmu imovine i  obveza su događaji koji utječu na neto vrijednost, a nisu rezultat aktivnosti odnosno transakcija i zamjena jedne vrste imovine/obveza drugom. Promjene - iznos smanjenja su nastale kao inventurne razlike odnosno rashod sitnog inventara, koje je utvrdila inventurna komisija.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Dospijelih obveza na kraju izvještajnog razdoblja nije bilo.</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105.275,74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nedospijelih obveza na kraju izvještajnog razdoblje iznosi 105.275,74 €, a odnosi se na konto 231 obveze za zaposlene u iznosu od 94.685,82 €, te na obveze za materijalne rashode u iznosu od 10.589,92 €. Te nedospijele obveze podmirene su sljedećem razdoblju u skladu s dospijećem.</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cc37adf3c134422" /></Relationships>
</file>